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E840" w14:textId="5AA0EC3E" w:rsidR="001E2B02" w:rsidRDefault="001E2B02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Updates from </w:t>
      </w:r>
      <w:r w:rsidR="00483C3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Robert Moss</w:t>
      </w:r>
      <w:r w:rsidR="007B324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(</w:t>
      </w:r>
      <w:r w:rsidR="00483C3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An </w:t>
      </w:r>
      <w:proofErr w:type="spellStart"/>
      <w:r w:rsidR="00483C3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Taisce</w:t>
      </w:r>
      <w:proofErr w:type="spellEnd"/>
      <w:r w:rsidR="00483C3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EULIFE Green Communities Lead</w:t>
      </w:r>
      <w:r w:rsidR="007B324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)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, the Climate Action, Environment &amp; Energy SPC PPN Representative</w:t>
      </w:r>
      <w:r w:rsidR="00350A4F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:</w:t>
      </w:r>
    </w:p>
    <w:p w14:paraId="6A93F02C" w14:textId="77777777" w:rsidR="00350A4F" w:rsidRDefault="00350A4F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5E1330B3" w14:textId="77777777" w:rsidR="001E2B02" w:rsidRDefault="001E2B02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3B73E4C7" w14:textId="6287BE89" w:rsidR="001E2B02" w:rsidRPr="001E2B02" w:rsidRDefault="007F61E4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17</w:t>
      </w:r>
      <w:r w:rsidRPr="007F61E4">
        <w:rPr>
          <w:rFonts w:ascii="Roboto" w:eastAsia="Times New Roman" w:hAnsi="Roboto" w:cs="Times New Roman"/>
          <w:b/>
          <w:bCs/>
          <w:color w:val="2C363A"/>
          <w:sz w:val="21"/>
          <w:szCs w:val="21"/>
          <w:vertAlign w:val="superscript"/>
          <w:lang w:eastAsia="en-GB"/>
        </w:rPr>
        <w:t>th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of January 2023: </w:t>
      </w:r>
      <w:r w:rsidRPr="007F61E4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Leaving No One Behind: Sustainable Development Goals National Stakeholder Forum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:</w:t>
      </w:r>
    </w:p>
    <w:p w14:paraId="20ECB367" w14:textId="77777777" w:rsidR="00350A4F" w:rsidRDefault="007F61E4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noProof/>
          <w:color w:val="2C363A"/>
          <w:sz w:val="21"/>
          <w:szCs w:val="21"/>
          <w:lang w:eastAsia="en-GB"/>
        </w:rPr>
        <w:drawing>
          <wp:inline distT="0" distB="0" distL="0" distR="0" wp14:anchorId="523C3A63" wp14:editId="27A640D3">
            <wp:extent cx="5731510" cy="3251200"/>
            <wp:effectExtent l="0" t="0" r="2540" b="635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FA78" w14:textId="77777777" w:rsidR="00350A4F" w:rsidRDefault="00350A4F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340F4694" w14:textId="33AB4432" w:rsidR="00527A8D" w:rsidRDefault="00527A8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Robert Moss</w:t>
      </w:r>
      <w:r w:rsidR="001E2B02" w:rsidRPr="001E2B02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, the Climate Action, Environment &amp; Energy SPC PPN </w:t>
      </w: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Environment</w:t>
      </w:r>
      <w:r w:rsidR="001E2B02" w:rsidRPr="001E2B02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representative, </w:t>
      </w:r>
    </w:p>
    <w:p w14:paraId="6AD336A9" w14:textId="7DF224B9" w:rsidR="00527A8D" w:rsidRDefault="001E2B02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1E2B02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attended the</w:t>
      </w:r>
      <w:r w:rsidR="00527A8D"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</w:t>
      </w:r>
      <w:r w:rsid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“</w:t>
      </w:r>
      <w:r w:rsidR="00527A8D"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Leaving No One Behind: Sustainable Development Goals National Stakeholder Forum</w:t>
      </w:r>
      <w:r w:rsid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”</w:t>
      </w:r>
      <w:r w:rsidR="007F61E4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. This</w:t>
      </w:r>
      <w:r w:rsidR="00527A8D"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follow</w:t>
      </w:r>
      <w:r w:rsidR="007F61E4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ed</w:t>
      </w:r>
      <w:r w:rsidR="00527A8D"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the publication In October 2022 of Ireland’s Second National Implementation Plan for the Sustainable Development Goals 2022 – 2024:</w:t>
      </w:r>
    </w:p>
    <w:p w14:paraId="3ADDC4E8" w14:textId="77777777" w:rsidR="007F61E4" w:rsidRPr="00527A8D" w:rsidRDefault="007F61E4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43E4E1A3" w14:textId="37470443" w:rsidR="00527A8D" w:rsidRDefault="00000000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hyperlink r:id="rId6" w:history="1">
        <w:r w:rsidR="007F61E4" w:rsidRPr="00B23A44">
          <w:rPr>
            <w:rStyle w:val="Hyperlink"/>
            <w:rFonts w:ascii="Roboto" w:eastAsia="Times New Roman" w:hAnsi="Roboto" w:cs="Times New Roman"/>
            <w:sz w:val="21"/>
            <w:szCs w:val="21"/>
            <w:lang w:eastAsia="en-GB"/>
          </w:rPr>
          <w:t>https://www.gov.ie/en/publication/e950f-national-implementation-plan-for-the-sustainable-development-goals-2022-2024/</w:t>
        </w:r>
      </w:hyperlink>
    </w:p>
    <w:p w14:paraId="38B9370D" w14:textId="77777777" w:rsidR="007F61E4" w:rsidRPr="00527A8D" w:rsidRDefault="007F61E4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3EB107F3" w14:textId="77777777" w:rsidR="00527A8D" w:rsidRPr="00527A8D" w:rsidRDefault="00527A8D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Five Strategic Objectives have been identified as part of this Implementation Plan to further develop SDG implementation. </w:t>
      </w:r>
    </w:p>
    <w:p w14:paraId="288AD809" w14:textId="77777777" w:rsidR="00527A8D" w:rsidRPr="00527A8D" w:rsidRDefault="00527A8D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Strategic Objective 3 is for “Greater partnerships for the Goals”.</w:t>
      </w:r>
    </w:p>
    <w:p w14:paraId="5B8ED398" w14:textId="718E942E" w:rsidR="00527A8D" w:rsidRDefault="00527A8D" w:rsidP="00527A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527A8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Increasing collaboration will be required between local authorities, government agencies, business, and between education institutions working on climate action solutions for the delivery of policy and emission targets.</w:t>
      </w:r>
    </w:p>
    <w:p w14:paraId="33604A9B" w14:textId="4871A62B" w:rsidR="001E2B02" w:rsidRDefault="001E2B02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4B00A5D3" w14:textId="77777777" w:rsidR="00350A4F" w:rsidRPr="001E2B02" w:rsidRDefault="00350A4F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362F2CF3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7FED810C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2B118498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7AF31F70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08C49829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2E2EE050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1C6A042B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5A8B908B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09302259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6C6EE9CE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548C3AEB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50B1359C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15427E92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101AF135" w14:textId="39629031" w:rsidR="001E2B02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7</w:t>
      </w:r>
      <w:r w:rsidRPr="008D481D">
        <w:rPr>
          <w:rFonts w:ascii="Roboto" w:eastAsia="Times New Roman" w:hAnsi="Roboto" w:cs="Times New Roman"/>
          <w:b/>
          <w:bCs/>
          <w:color w:val="2C363A"/>
          <w:sz w:val="21"/>
          <w:szCs w:val="21"/>
          <w:vertAlign w:val="superscript"/>
          <w:lang w:eastAsia="en-GB"/>
        </w:rPr>
        <w:t>th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of February 2023: </w:t>
      </w:r>
      <w:r w:rsidRPr="008D481D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EPA Ireland Stakeholder Workshop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:</w:t>
      </w:r>
    </w:p>
    <w:p w14:paraId="43F7FBB3" w14:textId="1B7FD400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11F4D2E7" w14:textId="011A06CB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noProof/>
          <w:color w:val="2C363A"/>
          <w:sz w:val="21"/>
          <w:szCs w:val="21"/>
          <w:lang w:eastAsia="en-GB"/>
        </w:rPr>
        <w:drawing>
          <wp:inline distT="0" distB="0" distL="0" distR="0" wp14:anchorId="07F4CB46" wp14:editId="269D718D">
            <wp:extent cx="5731510" cy="3658870"/>
            <wp:effectExtent l="0" t="0" r="254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41AE" w14:textId="77777777" w:rsidR="008D481D" w:rsidRDefault="008D481D" w:rsidP="001E2B0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</w:p>
    <w:p w14:paraId="6A8E168C" w14:textId="77777777" w:rsidR="00350A4F" w:rsidRDefault="00350A4F" w:rsidP="00350A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Robert Moss</w:t>
      </w:r>
      <w:r w:rsidRPr="001E2B02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, the Climate Action, Environment &amp; Energy SPC PPN </w:t>
      </w: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Environment</w:t>
      </w:r>
      <w:r w:rsidRPr="001E2B02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representative, </w:t>
      </w:r>
    </w:p>
    <w:p w14:paraId="5FC301DD" w14:textId="0260F616" w:rsidR="00350A4F" w:rsidRPr="00350A4F" w:rsidRDefault="00350A4F" w:rsidP="00350A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attended the </w:t>
      </w: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“</w:t>
      </w: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EPA</w:t>
      </w:r>
      <w:r w:rsid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</w:t>
      </w: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Ireland Stakeholder Workshop</w:t>
      </w: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” on the</w:t>
      </w: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</w:t>
      </w:r>
      <w:proofErr w:type="gramStart"/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7th</w:t>
      </w:r>
      <w:proofErr w:type="gramEnd"/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February 2023 at the Ashling Hotel in Dublin 7.</w:t>
      </w:r>
    </w:p>
    <w:p w14:paraId="572B780A" w14:textId="77777777" w:rsidR="00350A4F" w:rsidRPr="00350A4F" w:rsidRDefault="00350A4F" w:rsidP="00350A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This was to gather input for the Five Year Assessment Report on Climate Change Volume 3: Being Prepared for Ireland’s Future Climate.</w:t>
      </w:r>
    </w:p>
    <w:p w14:paraId="39A90208" w14:textId="2C24621E" w:rsidR="00350A4F" w:rsidRDefault="00350A4F" w:rsidP="00350A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350A4F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The session looking at Built Environment, Heritage, and Rural Communities identified the following issues:</w:t>
      </w:r>
    </w:p>
    <w:p w14:paraId="0AD4EAA6" w14:textId="77777777" w:rsidR="00350A4F" w:rsidRPr="00350A4F" w:rsidRDefault="00350A4F" w:rsidP="00350A4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23BFC40D" w14:textId="77777777" w:rsidR="00350A4F" w:rsidRPr="008D481D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Policy Misalignment</w:t>
      </w:r>
    </w:p>
    <w:p w14:paraId="0ED0E3B8" w14:textId="77777777" w:rsidR="00350A4F" w:rsidRPr="008D481D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Different timescales for different but overlapping </w:t>
      </w:r>
      <w:proofErr w:type="gramStart"/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plans</w:t>
      </w:r>
      <w:proofErr w:type="gramEnd"/>
    </w:p>
    <w:p w14:paraId="7EBCB7C5" w14:textId="77777777" w:rsidR="00350A4F" w:rsidRPr="008D481D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 need for stakeholder incentives for engagement</w:t>
      </w:r>
    </w:p>
    <w:p w14:paraId="28E30E08" w14:textId="77777777" w:rsidR="00350A4F" w:rsidRPr="008D481D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Finite resources</w:t>
      </w:r>
    </w:p>
    <w:p w14:paraId="299E2059" w14:textId="77777777" w:rsidR="00350A4F" w:rsidRPr="008D481D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A need for sensibility to </w:t>
      </w:r>
      <w:proofErr w:type="gramStart"/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place</w:t>
      </w:r>
      <w:proofErr w:type="gramEnd"/>
    </w:p>
    <w:p w14:paraId="0B05687C" w14:textId="346F39B0" w:rsidR="00350A4F" w:rsidRDefault="00350A4F" w:rsidP="008D48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D481D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The importance of adaptation for all</w:t>
      </w:r>
    </w:p>
    <w:p w14:paraId="2A04D707" w14:textId="6F47829B" w:rsidR="008D481D" w:rsidRDefault="008D481D" w:rsidP="008D48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256A5C50" w14:textId="381E6DA4" w:rsidR="008D481D" w:rsidRPr="008D481D" w:rsidRDefault="008D481D" w:rsidP="008D48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Governance and policies were identified as being one of the biggest obstacles to affecting climate adaptation, with a timeline of up to 10 years to change an outdated policy!</w:t>
      </w:r>
    </w:p>
    <w:p w14:paraId="461D70BF" w14:textId="41040D16" w:rsidR="008B3E77" w:rsidRDefault="008B3E77"/>
    <w:p w14:paraId="5376C9DA" w14:textId="33315AD9" w:rsidR="00483C32" w:rsidRPr="00671D59" w:rsidRDefault="00483C32">
      <w:pPr>
        <w:rPr>
          <w:b/>
          <w:bCs/>
        </w:rPr>
      </w:pPr>
      <w:r w:rsidRPr="00671D59">
        <w:rPr>
          <w:b/>
          <w:bCs/>
        </w:rPr>
        <w:t>Important Documents:</w:t>
      </w:r>
    </w:p>
    <w:p w14:paraId="07771851" w14:textId="351B6A02" w:rsidR="00483C32" w:rsidRPr="00671D59" w:rsidRDefault="00483C32">
      <w:r w:rsidRPr="00483C32">
        <w:rPr>
          <w:b/>
          <w:bCs/>
        </w:rPr>
        <w:t xml:space="preserve">The </w:t>
      </w:r>
      <w:r>
        <w:rPr>
          <w:b/>
          <w:bCs/>
        </w:rPr>
        <w:t xml:space="preserve">new </w:t>
      </w:r>
      <w:r w:rsidRPr="00483C32">
        <w:rPr>
          <w:b/>
          <w:bCs/>
        </w:rPr>
        <w:t xml:space="preserve">Dublin City Development Plan </w:t>
      </w:r>
      <w:r w:rsidRPr="00671D59">
        <w:t>was adopted by Dublin City Council at a Special Council Meeting on 2nd November 2022 and came into effect on the 14th December 2022.</w:t>
      </w:r>
    </w:p>
    <w:p w14:paraId="77BEAAF6" w14:textId="061122B4" w:rsidR="00483C32" w:rsidRPr="00671D59" w:rsidRDefault="00483C32">
      <w:r w:rsidRPr="00671D59">
        <w:t xml:space="preserve">For the first time the plan contains a dedicated </w:t>
      </w:r>
      <w:r w:rsidR="001E576F" w:rsidRPr="00671D59">
        <w:t xml:space="preserve">Climate Action </w:t>
      </w:r>
      <w:r w:rsidRPr="00671D59">
        <w:t>chapter</w:t>
      </w:r>
      <w:r w:rsidR="001E576F" w:rsidRPr="00671D59">
        <w:t xml:space="preserve"> … available here:</w:t>
      </w:r>
      <w:r w:rsidRPr="00671D59">
        <w:t xml:space="preserve"> </w:t>
      </w:r>
    </w:p>
    <w:p w14:paraId="5601D0C4" w14:textId="002195BF" w:rsidR="00483C32" w:rsidRDefault="00000000">
      <w:hyperlink r:id="rId8" w:history="1">
        <w:r w:rsidR="001E576F" w:rsidRPr="00B23A44">
          <w:rPr>
            <w:rStyle w:val="Hyperlink"/>
          </w:rPr>
          <w:t>https://www.dublincity.ie/residential/planning/strategic-planning/dublin-city-development-plan/development-plan-2022-2028/chapter-3-climate-action-0</w:t>
        </w:r>
      </w:hyperlink>
    </w:p>
    <w:p w14:paraId="21855D27" w14:textId="237A6F72" w:rsidR="001E576F" w:rsidRDefault="001E576F"/>
    <w:p w14:paraId="280EF47C" w14:textId="77777777" w:rsidR="00671D59" w:rsidRPr="00671D59" w:rsidRDefault="001E576F" w:rsidP="00671D59">
      <w:pPr>
        <w:rPr>
          <w:b/>
          <w:bCs/>
        </w:rPr>
      </w:pPr>
      <w:r w:rsidRPr="00671D59">
        <w:rPr>
          <w:b/>
          <w:bCs/>
        </w:rPr>
        <w:t>The annual progress report for 2022 is available for the Dublin City Council Climate Action Plan</w:t>
      </w:r>
      <w:r w:rsidR="00671D59" w:rsidRPr="00671D59">
        <w:rPr>
          <w:b/>
          <w:bCs/>
        </w:rPr>
        <w:t xml:space="preserve"> (2019-2024). </w:t>
      </w:r>
    </w:p>
    <w:p w14:paraId="2B121E97" w14:textId="162F88B6" w:rsidR="001E576F" w:rsidRDefault="00671D59" w:rsidP="00671D59">
      <w:r>
        <w:t>This plan sets out 4 key targets and 219 actions that the Council will undertake in the areas of energy &amp; buildings, transport, flood resilience, nature-based solutions and resource management:</w:t>
      </w:r>
    </w:p>
    <w:p w14:paraId="389C5C0D" w14:textId="2AEEAA24" w:rsidR="00671D59" w:rsidRDefault="00000000" w:rsidP="00671D59">
      <w:hyperlink r:id="rId9" w:history="1">
        <w:r w:rsidR="00671D59" w:rsidRPr="00B23A44">
          <w:rPr>
            <w:rStyle w:val="Hyperlink"/>
          </w:rPr>
          <w:t>https://councilmeetings.dublincity.ie/documents/s39286/Climate%20Action%20Plan%20Annual%20Progress%20report%202021-2022.pdf</w:t>
        </w:r>
      </w:hyperlink>
    </w:p>
    <w:p w14:paraId="2102009F" w14:textId="77777777" w:rsidR="00C14DBF" w:rsidRDefault="00C14DBF" w:rsidP="00671D59"/>
    <w:p w14:paraId="1D8E97A6" w14:textId="3973A8F3" w:rsidR="00671D59" w:rsidRDefault="00C14DBF" w:rsidP="00671D59">
      <w:r w:rsidRPr="00C14DBF">
        <w:rPr>
          <w:b/>
          <w:bCs/>
        </w:rPr>
        <w:t>CULTIVATE will develop the Food Sharing Compass</w:t>
      </w:r>
      <w:r w:rsidRPr="00C14DBF">
        <w:t>, a social innovation support platform for F</w:t>
      </w:r>
      <w:r>
        <w:t>ood Sharing Initiatives</w:t>
      </w:r>
      <w:r w:rsidRPr="00C14DBF">
        <w:t>, policy makers, food supply actors, researchers, and citizens</w:t>
      </w:r>
      <w:r>
        <w:t>. T</w:t>
      </w:r>
      <w:r w:rsidRPr="00671D59">
        <w:t xml:space="preserve">he </w:t>
      </w:r>
      <w:r>
        <w:t>F</w:t>
      </w:r>
      <w:r w:rsidRPr="00671D59">
        <w:t xml:space="preserve">ood </w:t>
      </w:r>
      <w:r>
        <w:t>S</w:t>
      </w:r>
      <w:r w:rsidRPr="00671D59">
        <w:t xml:space="preserve">haring </w:t>
      </w:r>
      <w:r>
        <w:t>C</w:t>
      </w:r>
      <w:r w:rsidRPr="00671D59">
        <w:t xml:space="preserve">ompass </w:t>
      </w:r>
      <w:r>
        <w:t>is</w:t>
      </w:r>
      <w:r w:rsidRPr="00671D59">
        <w:t xml:space="preserve"> an online platform for multiple stakeholders to support sustainable and resilient food sharing</w:t>
      </w:r>
      <w:r>
        <w:t>:</w:t>
      </w:r>
    </w:p>
    <w:p w14:paraId="252554BC" w14:textId="2C286C2C" w:rsidR="00C14DBF" w:rsidRDefault="00000000" w:rsidP="00671D59">
      <w:hyperlink r:id="rId10" w:history="1">
        <w:r w:rsidR="00C14DBF" w:rsidRPr="00B23A44">
          <w:rPr>
            <w:rStyle w:val="Hyperlink"/>
          </w:rPr>
          <w:t>https://cultivate-project.eu/</w:t>
        </w:r>
      </w:hyperlink>
    </w:p>
    <w:p w14:paraId="052062E5" w14:textId="77777777" w:rsidR="00C14DBF" w:rsidRDefault="00C14DBF" w:rsidP="00671D59"/>
    <w:sectPr w:rsidR="00C1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6A58"/>
    <w:multiLevelType w:val="hybridMultilevel"/>
    <w:tmpl w:val="E4425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68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02"/>
    <w:rsid w:val="001E2B02"/>
    <w:rsid w:val="001E576F"/>
    <w:rsid w:val="00350A4F"/>
    <w:rsid w:val="00483C32"/>
    <w:rsid w:val="00527A8D"/>
    <w:rsid w:val="00621F69"/>
    <w:rsid w:val="00671D59"/>
    <w:rsid w:val="007B3245"/>
    <w:rsid w:val="007F61E4"/>
    <w:rsid w:val="0080367F"/>
    <w:rsid w:val="008B3E77"/>
    <w:rsid w:val="008D481D"/>
    <w:rsid w:val="00C14DBF"/>
    <w:rsid w:val="00C8370C"/>
    <w:rsid w:val="00C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C3EF"/>
  <w15:chartTrackingRefBased/>
  <w15:docId w15:val="{39B72457-FA5A-4909-B7C2-C9BC099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lincity.ie/residential/planning/strategic-planning/dublin-city-development-plan/development-plan-2022-2028/chapter-3-climate-action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e/en/publication/e950f-national-implementation-plan-for-the-sustainable-development-goals-2022-202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ultivate-proje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cilmeetings.dublincity.ie/documents/s39286/Climate%20Action%20Plan%20Annual%20Progress%20report%20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Powell</dc:creator>
  <cp:keywords/>
  <dc:description/>
  <cp:lastModifiedBy>Ruth Powell</cp:lastModifiedBy>
  <cp:revision>2</cp:revision>
  <dcterms:created xsi:type="dcterms:W3CDTF">2023-02-23T11:51:00Z</dcterms:created>
  <dcterms:modified xsi:type="dcterms:W3CDTF">2023-02-23T11:51:00Z</dcterms:modified>
</cp:coreProperties>
</file>